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default" w:ascii="仿宋" w:hAnsi="仿宋" w:eastAsia="仿宋" w:cs="仿宋"/>
          <w:b/>
          <w:bCs w:val="0"/>
          <w:lang w:val="en-US" w:eastAsia="zh-CN"/>
        </w:rPr>
      </w:pPr>
      <w:r>
        <w:rPr>
          <w:rFonts w:hint="eastAsia" w:ascii="仿宋" w:hAnsi="仿宋" w:eastAsia="仿宋" w:cs="仿宋"/>
          <w:b/>
          <w:bCs w:val="0"/>
        </w:rPr>
        <w:t>关于福州文投非遗产业展示中心（寿山石雕馆）</w:t>
      </w:r>
      <w:r>
        <w:rPr>
          <w:rFonts w:hint="eastAsia" w:ascii="仿宋" w:hAnsi="仿宋" w:eastAsia="仿宋" w:cs="仿宋"/>
          <w:b/>
          <w:bCs w:val="0"/>
          <w:lang w:val="en-US" w:eastAsia="zh-CN"/>
        </w:rPr>
        <w:t>装修</w:t>
      </w:r>
      <w:r>
        <w:rPr>
          <w:rFonts w:hint="eastAsia" w:ascii="仿宋" w:hAnsi="仿宋" w:eastAsia="仿宋" w:cs="仿宋"/>
          <w:b/>
          <w:bCs w:val="0"/>
        </w:rPr>
        <w:t>设计任务书</w:t>
      </w:r>
      <w:r>
        <w:rPr>
          <w:rFonts w:hint="eastAsia" w:ascii="仿宋" w:hAnsi="仿宋" w:eastAsia="仿宋" w:cs="仿宋"/>
          <w:b/>
          <w:bCs w:val="0"/>
          <w:lang w:val="en-US" w:eastAsia="zh-CN"/>
        </w:rPr>
        <w:t>及报价表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项目地点：福州市台江区六一北路与光明港交叉口（光明港公园配套用房1#房屋）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场地面积：一楼室内</w:t>
      </w:r>
      <w:r>
        <w:rPr>
          <w:rFonts w:hint="eastAsia" w:ascii="仿宋" w:hAnsi="仿宋" w:eastAsia="仿宋" w:cs="仿宋"/>
          <w:sz w:val="30"/>
          <w:szCs w:val="30"/>
          <w:lang w:val="en-US" w:eastAsia="zh-CN"/>
        </w:rPr>
        <w:t>484.29</w:t>
      </w:r>
      <w:r>
        <w:rPr>
          <w:rFonts w:hint="eastAsia" w:ascii="仿宋" w:hAnsi="仿宋" w:eastAsia="仿宋" w:cs="仿宋"/>
          <w:sz w:val="30"/>
          <w:szCs w:val="30"/>
        </w:rPr>
        <w:t>㎡左右，二楼室内</w:t>
      </w:r>
      <w:r>
        <w:rPr>
          <w:rFonts w:hint="eastAsia" w:ascii="仿宋" w:hAnsi="仿宋" w:eastAsia="仿宋" w:cs="仿宋"/>
          <w:sz w:val="30"/>
          <w:szCs w:val="30"/>
          <w:lang w:val="en-US" w:eastAsia="zh-CN"/>
        </w:rPr>
        <w:t>396.02</w:t>
      </w:r>
      <w:r>
        <w:rPr>
          <w:rFonts w:hint="eastAsia" w:ascii="仿宋" w:hAnsi="仿宋" w:eastAsia="仿宋" w:cs="仿宋"/>
          <w:sz w:val="30"/>
          <w:szCs w:val="30"/>
        </w:rPr>
        <w:t>㎡，</w:t>
      </w:r>
      <w:r>
        <w:rPr>
          <w:rFonts w:hint="eastAsia" w:ascii="仿宋" w:hAnsi="仿宋" w:eastAsia="仿宋" w:cs="仿宋"/>
          <w:sz w:val="30"/>
          <w:szCs w:val="30"/>
          <w:lang w:val="en-US" w:eastAsia="zh-CN"/>
        </w:rPr>
        <w:t>屋顶平层96.5</w:t>
      </w:r>
      <w:r>
        <w:rPr>
          <w:rFonts w:hint="eastAsia" w:ascii="仿宋" w:hAnsi="仿宋" w:eastAsia="仿宋" w:cs="仿宋"/>
          <w:sz w:val="30"/>
          <w:szCs w:val="30"/>
        </w:rPr>
        <w:t>㎡左右（设计单位可进行实地考察）</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展馆定位：展馆筹建，是全面贯彻落实习近平总书记在闽工作期间关于寿山石文化的指示精神的一项具体行动和重要举措，是推进市委市政府九大专项行动、加快建设现代化国际城市的具体抓手。寿山石鉴定中心牵头 ，选址六一北路与光明港交叉口（特艺城斜对面）独栋建筑，建设“非遗产业展示中心寿山石雕馆”，将系统梳理闽地千年寿山石历史文脉、雕刻技艺、传承发展；传承与活化寿山石非遗文化及工艺美术产业；全景呈现新时代闽地寿山石发展成果成就；全面展现当代寿山石人的雕琢精神和奋斗精神。</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设计要求：</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根据各自设计思路，充分体现原创性和主题特色。充分利用声、光、电等现代信息技术，以展板、多媒体、数字综合演示为主要展示手段进行展示，展示形式灵活。充分表现寿山石文化特色，努力打造特点突出、独具魅力、功能实用的新时代非遗艺术展示馆，成为寿山石产业交流中心，寿山石鉴定评估及创作研究中心，城市寿山石文化科普教育中心，寿山石研学实践基地，圈层交流聚会中心。</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展陈内容上应充分体现福州地域特色、闽派寿山石文化特色，以及新时代闽地寿山石发展的各项创新成果。</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应技术可行、经济合理，兼顾社会效益，充分考虑展示手段及展品制作成本，合理控制投资。</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项目要求：</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1、文案策划：依据设计理念，对布展区域内进行详实的展览内容、展览布局分析，制定出整体策划文案。</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2、方案设计：根据策划文案进行创意设计，3D建模，输出鸟瞰图、展厅空间效果图。</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3、布展内容组稿：收集、整理、编辑布展资料、图片、文字，以完成布展内容。</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4、施工图绘制：根据布展效果图及内容，绘制实施图纸。</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分区规划：</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福州文投非遗产业展示中心（寿山石雕馆），由以下四类空间构成：</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1、艺术展示馆；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2、寿山石鉴定中心：含受理、理化、拍照、鉴定、评估等；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3、功能间打造：接待室、活动室、办公室、大师工作室等；</w:t>
      </w:r>
    </w:p>
    <w:p>
      <w:pPr>
        <w:keepNext w:val="0"/>
        <w:keepLines w:val="0"/>
        <w:pageBreakBefore w:val="0"/>
        <w:widowControl w:val="0"/>
        <w:kinsoku/>
        <w:wordWrap/>
        <w:overflowPunct/>
        <w:topLinePunct w:val="0"/>
        <w:autoSpaceDE/>
        <w:autoSpaceDN/>
        <w:bidi w:val="0"/>
        <w:adjustRightInd/>
        <w:snapToGrid/>
        <w:spacing w:line="360" w:lineRule="auto"/>
        <w:ind w:firstLine="585" w:firstLineChars="0"/>
        <w:jc w:val="left"/>
        <w:textAlignment w:val="auto"/>
        <w:rPr>
          <w:rFonts w:hint="eastAsia" w:ascii="仿宋" w:hAnsi="仿宋" w:eastAsia="仿宋" w:cs="仿宋"/>
          <w:sz w:val="30"/>
          <w:szCs w:val="30"/>
        </w:rPr>
      </w:pPr>
      <w:r>
        <w:rPr>
          <w:rFonts w:hint="eastAsia" w:ascii="仿宋" w:hAnsi="仿宋" w:eastAsia="仿宋" w:cs="仿宋"/>
          <w:sz w:val="30"/>
          <w:szCs w:val="30"/>
        </w:rPr>
        <w:t>4、户外景观：户外休闲区域及景观打造。</w:t>
      </w:r>
    </w:p>
    <w:p>
      <w:pPr>
        <w:ind w:firstLine="585" w:firstLineChars="0"/>
        <w:jc w:val="left"/>
        <w:rPr>
          <w:rFonts w:hint="eastAsia"/>
          <w:sz w:val="28"/>
          <w:szCs w:val="28"/>
          <w:lang w:val="en-US" w:eastAsia="zh-CN"/>
        </w:rPr>
      </w:pPr>
    </w:p>
    <w:p>
      <w:pPr>
        <w:numPr>
          <w:ilvl w:val="0"/>
          <w:numId w:val="1"/>
        </w:numPr>
        <w:ind w:firstLine="585" w:firstLineChars="0"/>
        <w:jc w:val="left"/>
        <w:rPr>
          <w:rFonts w:hint="eastAsia"/>
          <w:sz w:val="28"/>
          <w:szCs w:val="28"/>
          <w:lang w:val="en-US" w:eastAsia="zh-CN"/>
        </w:rPr>
      </w:pPr>
      <w:r>
        <w:rPr>
          <w:rFonts w:hint="eastAsia"/>
          <w:sz w:val="28"/>
          <w:szCs w:val="28"/>
          <w:lang w:val="en-US" w:eastAsia="zh-CN"/>
        </w:rPr>
        <w:t>设计报价明细表</w:t>
      </w:r>
    </w:p>
    <w:tbl>
      <w:tblPr>
        <w:tblStyle w:val="5"/>
        <w:tblW w:w="9411" w:type="dxa"/>
        <w:tblInd w:w="-28" w:type="dxa"/>
        <w:shd w:val="clear" w:color="auto" w:fill="auto"/>
        <w:tblLayout w:type="fixed"/>
        <w:tblCellMar>
          <w:top w:w="0" w:type="dxa"/>
          <w:left w:w="108" w:type="dxa"/>
          <w:bottom w:w="0" w:type="dxa"/>
          <w:right w:w="108" w:type="dxa"/>
        </w:tblCellMar>
      </w:tblPr>
      <w:tblGrid>
        <w:gridCol w:w="722"/>
        <w:gridCol w:w="1389"/>
        <w:gridCol w:w="678"/>
        <w:gridCol w:w="722"/>
        <w:gridCol w:w="655"/>
        <w:gridCol w:w="212"/>
        <w:gridCol w:w="1200"/>
        <w:gridCol w:w="866"/>
        <w:gridCol w:w="2967"/>
      </w:tblGrid>
      <w:tr>
        <w:tblPrEx>
          <w:shd w:val="clear" w:color="auto" w:fill="auto"/>
          <w:tblCellMar>
            <w:top w:w="0" w:type="dxa"/>
            <w:left w:w="108" w:type="dxa"/>
            <w:bottom w:w="0" w:type="dxa"/>
            <w:right w:w="108" w:type="dxa"/>
          </w:tblCellMar>
        </w:tblPrEx>
        <w:trPr>
          <w:trHeight w:val="770" w:hRule="atLeast"/>
        </w:trPr>
        <w:tc>
          <w:tcPr>
            <w:tcW w:w="941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b/>
                <w:bCs w:val="0"/>
                <w:color w:val="000000" w:themeColor="text1"/>
                <w:sz w:val="24"/>
                <w:szCs w:val="20"/>
                <w:lang w:val="en-US" w:eastAsia="zh-CN"/>
                <w14:textFill>
                  <w14:solidFill>
                    <w14:schemeClr w14:val="tx1"/>
                  </w14:solidFill>
                </w14:textFill>
              </w:rPr>
            </w:pPr>
            <w:r>
              <w:rPr>
                <w:rFonts w:hint="eastAsia" w:ascii="仿宋" w:hAnsi="仿宋" w:eastAsia="仿宋" w:cs="仿宋"/>
                <w:b/>
                <w:bCs w:val="0"/>
                <w:color w:val="000000" w:themeColor="text1"/>
                <w:sz w:val="24"/>
                <w:szCs w:val="20"/>
                <w14:textFill>
                  <w14:solidFill>
                    <w14:schemeClr w14:val="tx1"/>
                  </w14:solidFill>
                </w14:textFill>
              </w:rPr>
              <w:t>福州</w:t>
            </w:r>
            <w:r>
              <w:rPr>
                <w:rFonts w:hint="eastAsia" w:ascii="仿宋" w:hAnsi="仿宋" w:eastAsia="仿宋" w:cs="仿宋"/>
                <w:b/>
                <w:bCs w:val="0"/>
                <w:color w:val="000000" w:themeColor="text1"/>
                <w:sz w:val="24"/>
                <w:szCs w:val="20"/>
                <w:lang w:val="en-US" w:eastAsia="zh-CN"/>
                <w14:textFill>
                  <w14:solidFill>
                    <w14:schemeClr w14:val="tx1"/>
                  </w14:solidFill>
                </w14:textFill>
              </w:rPr>
              <w:t>寿山石鉴定中心</w:t>
            </w:r>
          </w:p>
          <w:p>
            <w:pPr>
              <w:keepNext w:val="0"/>
              <w:keepLines w:val="0"/>
              <w:widowControl/>
              <w:suppressLineNumbers w:val="0"/>
              <w:spacing w:line="240" w:lineRule="auto"/>
              <w:ind w:left="0" w:leftChars="0" w:firstLine="0" w:firstLineChars="0"/>
              <w:jc w:val="center"/>
              <w:textAlignment w:val="center"/>
              <w:rPr>
                <w:rFonts w:hint="default" w:ascii="仿宋" w:hAnsi="仿宋" w:eastAsia="仿宋" w:cs="仿宋"/>
                <w:b/>
                <w:bCs w:val="0"/>
                <w:color w:val="000000" w:themeColor="text1"/>
                <w:sz w:val="24"/>
                <w:szCs w:val="20"/>
                <w:lang w:val="en-US" w:eastAsia="zh-CN"/>
                <w14:textFill>
                  <w14:solidFill>
                    <w14:schemeClr w14:val="tx1"/>
                  </w14:solidFill>
                </w14:textFill>
              </w:rPr>
            </w:pPr>
            <w:r>
              <w:rPr>
                <w:rFonts w:hint="eastAsia" w:ascii="仿宋" w:hAnsi="仿宋" w:eastAsia="仿宋" w:cs="仿宋"/>
                <w:b/>
                <w:bCs w:val="0"/>
                <w:color w:val="000000" w:themeColor="text1"/>
                <w:sz w:val="24"/>
                <w:szCs w:val="20"/>
                <w:lang w:val="en-US" w:eastAsia="zh-CN"/>
                <w14:textFill>
                  <w14:solidFill>
                    <w14:schemeClr w14:val="tx1"/>
                  </w14:solidFill>
                </w14:textFill>
              </w:rPr>
              <w:t>福州文投非遗产业展示中心—寿山石雕馆装修设计报价表</w:t>
            </w:r>
          </w:p>
        </w:tc>
      </w:tr>
      <w:tr>
        <w:tblPrEx>
          <w:tblCellMar>
            <w:top w:w="0" w:type="dxa"/>
            <w:left w:w="108" w:type="dxa"/>
            <w:bottom w:w="0" w:type="dxa"/>
            <w:right w:w="108" w:type="dxa"/>
          </w:tblCellMar>
        </w:tblPrEx>
        <w:trPr>
          <w:trHeight w:val="747" w:hRule="atLeast"/>
        </w:trPr>
        <w:tc>
          <w:tcPr>
            <w:tcW w:w="41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公司名称：</w:t>
            </w:r>
          </w:p>
        </w:tc>
        <w:tc>
          <w:tcPr>
            <w:tcW w:w="52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联系人：              联系电话：</w:t>
            </w:r>
          </w:p>
        </w:tc>
      </w:tr>
      <w:tr>
        <w:tblPrEx>
          <w:tblCellMar>
            <w:top w:w="0" w:type="dxa"/>
            <w:left w:w="108" w:type="dxa"/>
            <w:bottom w:w="0" w:type="dxa"/>
            <w:right w:w="108" w:type="dxa"/>
          </w:tblCellMar>
        </w:tblPrEx>
        <w:trPr>
          <w:trHeight w:val="285" w:hRule="atLeast"/>
        </w:trPr>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项目</w:t>
            </w:r>
          </w:p>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内容</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20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单价</w:t>
            </w:r>
          </w:p>
        </w:tc>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小计</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572" w:hRule="atLeast"/>
        </w:trPr>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iCs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iCs w:val="0"/>
                <w:color w:val="000000"/>
                <w:sz w:val="21"/>
                <w:szCs w:val="21"/>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数值</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iCs w:val="0"/>
                <w:color w:val="000000"/>
                <w:sz w:val="21"/>
                <w:szCs w:val="21"/>
                <w:u w:val="none"/>
              </w:rPr>
            </w:pP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67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消防改造</w:t>
            </w:r>
          </w:p>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设计</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元/项</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rPr>
            </w:pP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根据建筑面积，设计消防工图纸</w:t>
            </w:r>
          </w:p>
        </w:tc>
      </w:tr>
      <w:tr>
        <w:tblPrEx>
          <w:tblCellMar>
            <w:top w:w="0" w:type="dxa"/>
            <w:left w:w="108" w:type="dxa"/>
            <w:bottom w:w="0" w:type="dxa"/>
            <w:right w:w="108" w:type="dxa"/>
          </w:tblCellMar>
        </w:tblPrEx>
        <w:trPr>
          <w:trHeight w:val="1384"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一楼（大师工作室）</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484</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平米</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元/平米</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lang w:val="en-US"/>
              </w:rPr>
            </w:pP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总面积不包含公园对外公共卫生间面积，装修内容为简装：隔墙、粉刷、水电布线、地面，与二楼统一风格的公区装修。</w:t>
            </w:r>
          </w:p>
        </w:tc>
      </w:tr>
      <w:tr>
        <w:tblPrEx>
          <w:tblCellMar>
            <w:top w:w="0" w:type="dxa"/>
            <w:left w:w="108" w:type="dxa"/>
            <w:bottom w:w="0" w:type="dxa"/>
            <w:right w:w="108" w:type="dxa"/>
          </w:tblCellMar>
        </w:tblPrEx>
        <w:trPr>
          <w:trHeight w:val="1838"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3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二楼（展厅）</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396</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平米</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元/平米</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1"/>
                <w:szCs w:val="21"/>
                <w:u w:val="none"/>
                <w:lang w:val="en-US"/>
              </w:rPr>
            </w:pP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420" w:firstLineChars="20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设计；包含：展柜、展台、灯光、隔墙、粉刷、水电工钱、水电主材、灯具面板、控制箱、木工、瓷砖（公共区域等重新铺设）、油漆等</w:t>
            </w:r>
          </w:p>
        </w:tc>
      </w:tr>
      <w:tr>
        <w:tblPrEx>
          <w:tblCellMar>
            <w:top w:w="0" w:type="dxa"/>
            <w:left w:w="108" w:type="dxa"/>
            <w:bottom w:w="0" w:type="dxa"/>
            <w:right w:w="108" w:type="dxa"/>
          </w:tblCellMar>
        </w:tblPrEx>
        <w:trPr>
          <w:trHeight w:val="600"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3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三楼（办公区）</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96.5</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平米</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元/平米</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rPr>
            </w:pPr>
          </w:p>
        </w:tc>
        <w:tc>
          <w:tcPr>
            <w:tcW w:w="2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420" w:firstLineChars="20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多功能区域，包含接待、办公、活动</w:t>
            </w:r>
          </w:p>
        </w:tc>
      </w:tr>
      <w:tr>
        <w:tblPrEx>
          <w:tblCellMar>
            <w:top w:w="0" w:type="dxa"/>
            <w:left w:w="108" w:type="dxa"/>
            <w:bottom w:w="0" w:type="dxa"/>
            <w:right w:w="108" w:type="dxa"/>
          </w:tblCellMar>
        </w:tblPrEx>
        <w:trPr>
          <w:trHeight w:val="1773"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3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一楼外墙改造</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平米</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元/平米</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rPr>
            </w:pPr>
          </w:p>
        </w:tc>
        <w:tc>
          <w:tcPr>
            <w:tcW w:w="29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由于一楼空间仅有一面采光，未来引入大师合作工作室需要增加采光面积，加大窗户面积/改建为有防盗、防爆功能的玻璃幕墙</w:t>
            </w:r>
          </w:p>
        </w:tc>
      </w:tr>
      <w:tr>
        <w:tblPrEx>
          <w:tblCellMar>
            <w:top w:w="0" w:type="dxa"/>
            <w:left w:w="108" w:type="dxa"/>
            <w:bottom w:w="0" w:type="dxa"/>
            <w:right w:w="108" w:type="dxa"/>
          </w:tblCellMar>
        </w:tblPrEx>
        <w:trPr>
          <w:trHeight w:val="625"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3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二楼露台</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平米</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元/平米</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1"/>
                <w:szCs w:val="21"/>
                <w:u w:val="none"/>
              </w:rPr>
            </w:pP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420" w:firstLineChars="20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地面整治、活动功能房</w:t>
            </w:r>
          </w:p>
        </w:tc>
      </w:tr>
      <w:tr>
        <w:tblPrEx>
          <w:tblCellMar>
            <w:top w:w="0" w:type="dxa"/>
            <w:left w:w="108" w:type="dxa"/>
            <w:bottom w:w="0" w:type="dxa"/>
            <w:right w:w="108" w:type="dxa"/>
          </w:tblCellMar>
        </w:tblPrEx>
        <w:trPr>
          <w:trHeight w:val="557"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389"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三楼露台</w:t>
            </w:r>
          </w:p>
        </w:tc>
        <w:tc>
          <w:tcPr>
            <w:tcW w:w="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300</w:t>
            </w:r>
          </w:p>
        </w:tc>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平米</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元/平米</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仿宋" w:hAnsi="仿宋" w:eastAsia="仿宋" w:cs="仿宋"/>
                <w:i w:val="0"/>
                <w:iCs w:val="0"/>
                <w:color w:val="000000"/>
                <w:sz w:val="21"/>
                <w:szCs w:val="21"/>
                <w:u w:val="none"/>
              </w:rPr>
            </w:pP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557"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3656" w:type="dxa"/>
            <w:gridSpan w:val="5"/>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总计设计费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000000"/>
                <w:kern w:val="0"/>
                <w:sz w:val="21"/>
                <w:szCs w:val="21"/>
                <w:u w:val="none"/>
                <w:lang w:val="en-US" w:eastAsia="zh-CN" w:bidi="ar"/>
              </w:rPr>
            </w:pPr>
            <w:bookmarkStart w:id="0" w:name="_GoBack"/>
            <w:bookmarkEnd w:id="0"/>
            <w:r>
              <w:rPr>
                <w:rFonts w:hint="eastAsia" w:ascii="仿宋" w:hAnsi="仿宋" w:eastAsia="仿宋" w:cs="仿宋"/>
                <w:i w:val="0"/>
                <w:iCs w:val="0"/>
                <w:color w:val="000000"/>
                <w:kern w:val="0"/>
                <w:sz w:val="21"/>
                <w:szCs w:val="21"/>
                <w:u w:val="none"/>
                <w:lang w:val="en-US" w:eastAsia="zh-CN" w:bidi="ar"/>
              </w:rPr>
              <w:t>元</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both"/>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1878" w:hRule="atLeast"/>
        </w:trPr>
        <w:tc>
          <w:tcPr>
            <w:tcW w:w="941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both"/>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报价公司盖章：</w:t>
            </w:r>
          </w:p>
        </w:tc>
      </w:tr>
    </w:tbl>
    <w:p>
      <w:pPr>
        <w:ind w:left="0" w:leftChars="0" w:firstLine="0" w:firstLineChars="0"/>
        <w:rPr>
          <w:rFonts w:hint="eastAsia" w:ascii="仿宋" w:hAnsi="仿宋" w:eastAsia="仿宋" w:cs="仿宋"/>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81A9"/>
    <w:multiLevelType w:val="singleLevel"/>
    <w:tmpl w:val="2F9781A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E3B3F"/>
    <w:rsid w:val="15B441D3"/>
    <w:rsid w:val="211165AE"/>
    <w:rsid w:val="2CCE3B3F"/>
    <w:rsid w:val="3C9915AD"/>
    <w:rsid w:val="49235E3F"/>
    <w:rsid w:val="5ED05A37"/>
    <w:rsid w:val="7C8B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黑体"/>
      <w:kern w:val="2"/>
      <w:sz w:val="3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2021-05-26T09:52:00Z</dcterms:created>
  <dc:creator>子曰</dc:creator>
  <cp:lastModifiedBy>95。</cp:lastModifiedBy>
  <dcterms:modified xsi:type="dcterms:W3CDTF">2021-05-27T02:02:30Z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EADC526B18994E568898D5B560DA2BB6</vt:lpwstr>
  </property>
</Properties>
</file>